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523C" w14:textId="77777777" w:rsidR="00121F79" w:rsidRDefault="00121F79" w:rsidP="00121F79">
      <w:pPr>
        <w:shd w:val="clear" w:color="auto" w:fill="FFFFFF"/>
        <w:spacing w:after="100" w:afterAutospacing="1" w:line="240" w:lineRule="auto"/>
        <w:textAlignment w:val="baseline"/>
        <w:rPr>
          <w:rFonts w:eastAsia="Times New Roman" w:cstheme="minorHAnsi"/>
          <w:color w:val="595D64"/>
          <w:sz w:val="24"/>
          <w:szCs w:val="24"/>
        </w:rPr>
      </w:pPr>
      <w:r>
        <w:rPr>
          <w:rFonts w:eastAsia="Times New Roman" w:cstheme="minorHAnsi"/>
          <w:color w:val="595D64"/>
          <w:sz w:val="24"/>
          <w:szCs w:val="24"/>
        </w:rPr>
        <w:t xml:space="preserve">Fontbonne University requires </w:t>
      </w:r>
      <w:r>
        <w:rPr>
          <w:rFonts w:eastAsia="Times New Roman" w:cstheme="minorHAnsi"/>
          <w:b/>
          <w:bCs/>
          <w:color w:val="595D64"/>
          <w:sz w:val="24"/>
          <w:szCs w:val="24"/>
        </w:rPr>
        <w:t>all first-time resident students</w:t>
      </w:r>
      <w:r>
        <w:rPr>
          <w:rFonts w:eastAsia="Times New Roman" w:cstheme="minorHAnsi"/>
          <w:color w:val="595D64"/>
          <w:sz w:val="24"/>
          <w:szCs w:val="24"/>
        </w:rPr>
        <w:t xml:space="preserve"> to complete and submit the following:</w:t>
      </w:r>
    </w:p>
    <w:p w14:paraId="17858431" w14:textId="73F0B2E2" w:rsidR="00121F79" w:rsidRDefault="00121F79" w:rsidP="00121F79">
      <w:pPr>
        <w:pStyle w:val="ListParagraph"/>
        <w:numPr>
          <w:ilvl w:val="0"/>
          <w:numId w:val="1"/>
        </w:numPr>
        <w:shd w:val="clear" w:color="auto" w:fill="FFFFFF" w:themeFill="background1"/>
        <w:spacing w:after="100" w:afterAutospacing="1" w:line="240" w:lineRule="auto"/>
        <w:textAlignment w:val="baseline"/>
        <w:rPr>
          <w:rFonts w:eastAsiaTheme="minorEastAsia"/>
          <w:color w:val="595D64"/>
          <w:sz w:val="24"/>
          <w:szCs w:val="24"/>
        </w:rPr>
      </w:pPr>
      <w:r>
        <w:rPr>
          <w:rFonts w:eastAsiaTheme="minorEastAsia"/>
          <w:color w:val="595D64"/>
          <w:sz w:val="24"/>
          <w:szCs w:val="24"/>
        </w:rPr>
        <w:t>Medical History Information</w:t>
      </w:r>
      <w:r>
        <w:rPr>
          <w:rFonts w:eastAsiaTheme="minorEastAsia"/>
          <w:color w:val="595D64"/>
          <w:sz w:val="24"/>
          <w:szCs w:val="24"/>
        </w:rPr>
        <w:t xml:space="preserve"> (includes emergency contact information)</w:t>
      </w:r>
    </w:p>
    <w:p w14:paraId="782D0EB5" w14:textId="77777777" w:rsidR="00121F79" w:rsidRDefault="00121F79" w:rsidP="00121F79">
      <w:pPr>
        <w:pStyle w:val="ListParagraph"/>
        <w:numPr>
          <w:ilvl w:val="0"/>
          <w:numId w:val="1"/>
        </w:numPr>
        <w:shd w:val="clear" w:color="auto" w:fill="FFFFFF" w:themeFill="background1"/>
        <w:spacing w:after="100" w:afterAutospacing="1" w:line="240" w:lineRule="auto"/>
        <w:textAlignment w:val="baseline"/>
        <w:rPr>
          <w:rFonts w:eastAsiaTheme="minorEastAsia"/>
          <w:color w:val="595D64"/>
          <w:sz w:val="24"/>
          <w:szCs w:val="24"/>
        </w:rPr>
      </w:pPr>
      <w:r>
        <w:rPr>
          <w:rFonts w:eastAsiaTheme="minorEastAsia"/>
          <w:color w:val="595D64"/>
          <w:sz w:val="24"/>
          <w:szCs w:val="24"/>
        </w:rPr>
        <w:t xml:space="preserve">Proof of required immunizations </w:t>
      </w:r>
    </w:p>
    <w:p w14:paraId="739A3DD2" w14:textId="77777777" w:rsidR="00121F79" w:rsidRDefault="00121F79" w:rsidP="00121F79">
      <w:pPr>
        <w:pStyle w:val="ListParagraph"/>
        <w:numPr>
          <w:ilvl w:val="0"/>
          <w:numId w:val="1"/>
        </w:numPr>
        <w:shd w:val="clear" w:color="auto" w:fill="FFFFFF" w:themeFill="background1"/>
        <w:spacing w:after="100" w:afterAutospacing="1" w:line="240" w:lineRule="auto"/>
        <w:textAlignment w:val="baseline"/>
        <w:rPr>
          <w:rFonts w:eastAsiaTheme="minorEastAsia"/>
          <w:color w:val="595D64"/>
          <w:sz w:val="24"/>
          <w:szCs w:val="24"/>
        </w:rPr>
      </w:pPr>
      <w:r>
        <w:rPr>
          <w:rFonts w:eastAsiaTheme="minorEastAsia"/>
          <w:color w:val="595D64"/>
          <w:sz w:val="24"/>
          <w:szCs w:val="24"/>
        </w:rPr>
        <w:t>TB Screening</w:t>
      </w:r>
    </w:p>
    <w:p w14:paraId="7F429C18" w14:textId="77777777" w:rsidR="00121F79" w:rsidRDefault="00121F79" w:rsidP="00121F79">
      <w:pPr>
        <w:pStyle w:val="ListParagraph"/>
        <w:numPr>
          <w:ilvl w:val="0"/>
          <w:numId w:val="1"/>
        </w:numPr>
        <w:shd w:val="clear" w:color="auto" w:fill="FFFFFF" w:themeFill="background1"/>
        <w:spacing w:after="100" w:afterAutospacing="1" w:line="240" w:lineRule="auto"/>
        <w:rPr>
          <w:rFonts w:eastAsiaTheme="minorEastAsia"/>
          <w:color w:val="595D64"/>
          <w:sz w:val="24"/>
          <w:szCs w:val="24"/>
        </w:rPr>
      </w:pPr>
      <w:r>
        <w:rPr>
          <w:rFonts w:eastAsiaTheme="minorEastAsia"/>
          <w:color w:val="595D64"/>
          <w:sz w:val="24"/>
          <w:szCs w:val="24"/>
        </w:rPr>
        <w:t>Proof of health insurance (copy of health insurance card)</w:t>
      </w:r>
    </w:p>
    <w:p w14:paraId="00C2D5E3" w14:textId="51630F30" w:rsidR="00121F79" w:rsidRPr="00121F79" w:rsidRDefault="00121F79" w:rsidP="00121F79">
      <w:pPr>
        <w:pStyle w:val="ListParagraph"/>
        <w:numPr>
          <w:ilvl w:val="0"/>
          <w:numId w:val="1"/>
        </w:numPr>
        <w:shd w:val="clear" w:color="auto" w:fill="FFFFFF" w:themeFill="background1"/>
        <w:spacing w:after="100" w:afterAutospacing="1" w:line="240" w:lineRule="auto"/>
        <w:rPr>
          <w:rFonts w:eastAsiaTheme="minorEastAsia"/>
          <w:color w:val="595D64"/>
          <w:sz w:val="24"/>
          <w:szCs w:val="24"/>
        </w:rPr>
      </w:pPr>
      <w:r>
        <w:rPr>
          <w:rFonts w:eastAsiaTheme="minorEastAsia"/>
          <w:color w:val="595D64"/>
          <w:sz w:val="24"/>
          <w:szCs w:val="24"/>
        </w:rPr>
        <w:t>Permission to Treat Minors form (only required if student is under 18)</w:t>
      </w:r>
    </w:p>
    <w:p w14:paraId="3C323CB5" w14:textId="71C722BE" w:rsidR="00121F79" w:rsidRDefault="00121F79" w:rsidP="00121F79">
      <w:pPr>
        <w:shd w:val="clear" w:color="auto" w:fill="FFFFFF" w:themeFill="background1"/>
        <w:spacing w:after="100" w:afterAutospacing="1" w:line="240" w:lineRule="auto"/>
        <w:textAlignment w:val="baseline"/>
        <w:rPr>
          <w:rFonts w:eastAsia="Times New Roman"/>
          <w:color w:val="595D64"/>
          <w:sz w:val="24"/>
          <w:szCs w:val="24"/>
        </w:rPr>
      </w:pPr>
      <w:r>
        <w:rPr>
          <w:rFonts w:eastAsia="Times New Roman"/>
          <w:color w:val="595D64"/>
          <w:sz w:val="24"/>
          <w:szCs w:val="24"/>
        </w:rPr>
        <w:t xml:space="preserve">All requirements can be submitted electronically at </w:t>
      </w:r>
      <w:hyperlink r:id="rId5" w:history="1">
        <w:r>
          <w:rPr>
            <w:rStyle w:val="Hyperlink"/>
          </w:rPr>
          <w:t>Medical Information Submission Form - Formstack</w:t>
        </w:r>
      </w:hyperlink>
      <w:r>
        <w:t>.</w:t>
      </w:r>
    </w:p>
    <w:p w14:paraId="6E4FAF56" w14:textId="77777777" w:rsidR="00121F79" w:rsidRDefault="00121F79" w:rsidP="00121F79">
      <w:pPr>
        <w:shd w:val="clear" w:color="auto" w:fill="FFFFFF" w:themeFill="background1"/>
        <w:spacing w:after="100" w:afterAutospacing="1" w:line="240" w:lineRule="auto"/>
        <w:textAlignment w:val="baseline"/>
        <w:rPr>
          <w:rFonts w:eastAsia="Times New Roman"/>
          <w:color w:val="595D64"/>
          <w:sz w:val="24"/>
          <w:szCs w:val="24"/>
        </w:rPr>
      </w:pPr>
      <w:r>
        <w:rPr>
          <w:rFonts w:eastAsia="Times New Roman"/>
          <w:b/>
          <w:bCs/>
          <w:color w:val="595D64"/>
          <w:sz w:val="24"/>
          <w:szCs w:val="24"/>
        </w:rPr>
        <w:t>Immunization Requirements: </w:t>
      </w:r>
      <w:r>
        <w:rPr>
          <w:rFonts w:eastAsia="Times New Roman"/>
          <w:color w:val="595D64"/>
          <w:sz w:val="24"/>
          <w:szCs w:val="24"/>
        </w:rPr>
        <w:t>As part of the occupancy requirements, first time applicants (domestic and international students) must show proof of receiving the following Immunizations:</w:t>
      </w:r>
    </w:p>
    <w:p w14:paraId="0206704E" w14:textId="77777777" w:rsidR="00121F79" w:rsidRDefault="00121F79" w:rsidP="00121F79">
      <w:pPr>
        <w:numPr>
          <w:ilvl w:val="0"/>
          <w:numId w:val="3"/>
        </w:numPr>
        <w:shd w:val="clear" w:color="auto" w:fill="FFFFFF"/>
        <w:spacing w:before="100" w:beforeAutospacing="1" w:after="100" w:afterAutospacing="1" w:line="240" w:lineRule="auto"/>
        <w:rPr>
          <w:rFonts w:eastAsia="Times New Roman" w:cstheme="minorHAnsi"/>
          <w:color w:val="44546A" w:themeColor="text2"/>
          <w:sz w:val="24"/>
          <w:szCs w:val="24"/>
        </w:rPr>
      </w:pPr>
      <w:r>
        <w:rPr>
          <w:rFonts w:eastAsia="Times New Roman" w:cstheme="minorHAnsi"/>
          <w:b/>
          <w:bCs/>
          <w:color w:val="595D64"/>
          <w:sz w:val="24"/>
          <w:szCs w:val="24"/>
        </w:rPr>
        <w:t xml:space="preserve">Meningococcal vaccine </w:t>
      </w:r>
      <w:r>
        <w:rPr>
          <w:rFonts w:cstheme="minorHAnsi"/>
          <w:color w:val="000000"/>
          <w:sz w:val="24"/>
          <w:szCs w:val="24"/>
          <w:shd w:val="clear" w:color="auto" w:fill="FFFFFF"/>
        </w:rPr>
        <w:t>(</w:t>
      </w:r>
      <w:proofErr w:type="spellStart"/>
      <w:r>
        <w:rPr>
          <w:rFonts w:cstheme="minorHAnsi"/>
          <w:color w:val="000000"/>
          <w:sz w:val="24"/>
          <w:szCs w:val="24"/>
          <w:shd w:val="clear" w:color="auto" w:fill="FFFFFF"/>
        </w:rPr>
        <w:t>MenACWY</w:t>
      </w:r>
      <w:proofErr w:type="spellEnd"/>
      <w:r>
        <w:rPr>
          <w:rFonts w:cstheme="minorHAnsi"/>
          <w:color w:val="000000"/>
          <w:sz w:val="24"/>
          <w:szCs w:val="24"/>
          <w:shd w:val="clear" w:color="auto" w:fill="FFFFFF"/>
        </w:rPr>
        <w:t>, MCV4, MPSV4, Menveo</w:t>
      </w:r>
      <w:r>
        <w:rPr>
          <w:rFonts w:cstheme="minorHAnsi"/>
          <w:color w:val="000000"/>
          <w:sz w:val="24"/>
          <w:szCs w:val="24"/>
          <w:shd w:val="clear" w:color="auto" w:fill="FFFFFF"/>
          <w:vertAlign w:val="superscript"/>
        </w:rPr>
        <w:t>®</w:t>
      </w:r>
      <w:r>
        <w:rPr>
          <w:rFonts w:cstheme="minorHAnsi"/>
          <w:color w:val="000000"/>
          <w:sz w:val="24"/>
          <w:szCs w:val="24"/>
          <w:shd w:val="clear" w:color="auto" w:fill="FFFFFF"/>
        </w:rPr>
        <w:t xml:space="preserve">, </w:t>
      </w:r>
      <w:proofErr w:type="spellStart"/>
      <w:r>
        <w:rPr>
          <w:rFonts w:cstheme="minorHAnsi"/>
          <w:color w:val="000000"/>
          <w:sz w:val="24"/>
          <w:szCs w:val="24"/>
          <w:shd w:val="clear" w:color="auto" w:fill="FFFFFF"/>
        </w:rPr>
        <w:t>Menactra</w:t>
      </w:r>
      <w:proofErr w:type="spellEnd"/>
      <w:r>
        <w:rPr>
          <w:rFonts w:cstheme="minorHAnsi"/>
          <w:color w:val="000000"/>
          <w:sz w:val="24"/>
          <w:szCs w:val="24"/>
          <w:shd w:val="clear" w:color="auto" w:fill="FFFFFF"/>
          <w:vertAlign w:val="superscript"/>
        </w:rPr>
        <w:t>®</w:t>
      </w:r>
      <w:r>
        <w:rPr>
          <w:rFonts w:cstheme="minorHAnsi"/>
          <w:color w:val="000000"/>
          <w:sz w:val="24"/>
          <w:szCs w:val="24"/>
          <w:shd w:val="clear" w:color="auto" w:fill="FFFFFF"/>
        </w:rPr>
        <w:t xml:space="preserve">, or </w:t>
      </w:r>
      <w:proofErr w:type="spellStart"/>
      <w:r>
        <w:rPr>
          <w:rFonts w:cstheme="minorHAnsi"/>
          <w:color w:val="000000"/>
          <w:sz w:val="24"/>
          <w:szCs w:val="24"/>
          <w:shd w:val="clear" w:color="auto" w:fill="FFFFFF"/>
        </w:rPr>
        <w:t>MenQuadfi</w:t>
      </w:r>
      <w:proofErr w:type="spellEnd"/>
      <w:r>
        <w:rPr>
          <w:rFonts w:cstheme="minorHAnsi"/>
          <w:color w:val="000000"/>
          <w:sz w:val="24"/>
          <w:szCs w:val="24"/>
          <w:shd w:val="clear" w:color="auto" w:fill="FFFFFF"/>
          <w:vertAlign w:val="superscript"/>
        </w:rPr>
        <w:t>®</w:t>
      </w:r>
      <w:r>
        <w:rPr>
          <w:rFonts w:cstheme="minorHAnsi"/>
          <w:color w:val="000000"/>
          <w:sz w:val="24"/>
          <w:szCs w:val="24"/>
          <w:shd w:val="clear" w:color="auto" w:fill="FFFFFF"/>
        </w:rPr>
        <w:t xml:space="preserve">) – At least one dose is required after 16 years of age. </w:t>
      </w:r>
      <w:r>
        <w:rPr>
          <w:rFonts w:eastAsia="Times New Roman" w:cstheme="minorHAnsi"/>
          <w:color w:val="595D64"/>
          <w:sz w:val="24"/>
          <w:szCs w:val="24"/>
        </w:rPr>
        <w:t xml:space="preserve">Must receive </w:t>
      </w:r>
      <w:r>
        <w:rPr>
          <w:rFonts w:eastAsia="Times New Roman" w:cstheme="minorHAnsi"/>
          <w:color w:val="44546A" w:themeColor="text2"/>
          <w:sz w:val="24"/>
          <w:szCs w:val="24"/>
        </w:rPr>
        <w:t>by July 10 for fall semester, November 10 for spring semester, and April 10 for summer session.</w:t>
      </w:r>
    </w:p>
    <w:p w14:paraId="78DCAB38" w14:textId="0E8966D3" w:rsidR="00121F79" w:rsidRPr="00121F79" w:rsidRDefault="00121F79" w:rsidP="00121F79">
      <w:pPr>
        <w:numPr>
          <w:ilvl w:val="0"/>
          <w:numId w:val="3"/>
        </w:numPr>
        <w:shd w:val="clear" w:color="auto" w:fill="FFFFFF" w:themeFill="background1"/>
        <w:spacing w:before="100" w:beforeAutospacing="1" w:after="100" w:afterAutospacing="1" w:line="240" w:lineRule="auto"/>
        <w:rPr>
          <w:rFonts w:eastAsia="Times New Roman"/>
          <w:color w:val="44546A" w:themeColor="text2"/>
          <w:sz w:val="24"/>
          <w:szCs w:val="24"/>
        </w:rPr>
      </w:pPr>
      <w:r>
        <w:rPr>
          <w:rFonts w:eastAsia="Times New Roman"/>
          <w:b/>
          <w:bCs/>
          <w:color w:val="44546A" w:themeColor="text2"/>
          <w:sz w:val="24"/>
          <w:szCs w:val="24"/>
        </w:rPr>
        <w:t>Measles, Mumps and Rubella (MMR): </w:t>
      </w:r>
      <w:r>
        <w:rPr>
          <w:rFonts w:eastAsia="Times New Roman"/>
          <w:color w:val="44546A" w:themeColor="text2"/>
          <w:sz w:val="24"/>
          <w:szCs w:val="24"/>
        </w:rPr>
        <w:t>2 doses are required. Evidence of immunity with lab results (titers) may also be accepted. Must receive by July 10 for fall semester, November 10 for spring semester, and April 10 for summer session.</w:t>
      </w:r>
    </w:p>
    <w:p w14:paraId="7FBCAC28" w14:textId="483A78B4" w:rsidR="00121F79" w:rsidRDefault="00121F79" w:rsidP="00121F79">
      <w:pPr>
        <w:shd w:val="clear" w:color="auto" w:fill="FFFFFF" w:themeFill="background1"/>
        <w:spacing w:after="100" w:afterAutospacing="1" w:line="240" w:lineRule="auto"/>
        <w:textAlignment w:val="baseline"/>
        <w:rPr>
          <w:rFonts w:eastAsia="Times New Roman"/>
          <w:color w:val="595D64"/>
          <w:sz w:val="24"/>
          <w:szCs w:val="24"/>
        </w:rPr>
      </w:pPr>
      <w:r>
        <w:rPr>
          <w:rFonts w:eastAsia="Times New Roman"/>
          <w:i/>
          <w:iCs/>
          <w:color w:val="595D64"/>
          <w:sz w:val="24"/>
          <w:szCs w:val="24"/>
        </w:rPr>
        <w:t>Recommended immunizations include, however are not required</w:t>
      </w:r>
      <w:r>
        <w:rPr>
          <w:rFonts w:eastAsia="Times New Roman"/>
          <w:color w:val="595D64"/>
          <w:sz w:val="24"/>
          <w:szCs w:val="24"/>
        </w:rPr>
        <w:t>: Hepatitis A and B, Tetanus/Diphtheria (TD), Varicella (Chicken Pox), COVID-19, and the annual flu Vaccine.</w:t>
      </w:r>
    </w:p>
    <w:p w14:paraId="042579C3" w14:textId="77777777" w:rsidR="00121F79" w:rsidRDefault="00121F79" w:rsidP="00121F79">
      <w:pPr>
        <w:spacing w:after="0" w:line="240" w:lineRule="auto"/>
        <w:textAlignment w:val="baseline"/>
        <w:rPr>
          <w:rFonts w:eastAsia="Times New Roman" w:cstheme="minorHAnsi"/>
          <w:color w:val="676668"/>
          <w:sz w:val="24"/>
          <w:szCs w:val="24"/>
        </w:rPr>
      </w:pPr>
      <w:r>
        <w:rPr>
          <w:rFonts w:eastAsia="Times New Roman" w:cstheme="minorHAnsi"/>
          <w:b/>
          <w:bCs/>
          <w:color w:val="676668"/>
          <w:sz w:val="24"/>
          <w:szCs w:val="24"/>
          <w:bdr w:val="none" w:sz="0" w:space="0" w:color="auto" w:frame="1"/>
        </w:rPr>
        <w:t>Tuberculosis screening (TB)</w:t>
      </w:r>
      <w:r>
        <w:rPr>
          <w:rFonts w:eastAsia="Times New Roman" w:cstheme="minorHAnsi"/>
          <w:color w:val="676668"/>
          <w:sz w:val="24"/>
          <w:szCs w:val="24"/>
        </w:rPr>
        <w:t> – This screening cannot be older than 6 months prior to moving onto campus. Based on the results of the screening questionnaire, additional actions with documentation may be required.</w:t>
      </w:r>
    </w:p>
    <w:p w14:paraId="2CBCF1CD" w14:textId="77777777" w:rsidR="00121F79" w:rsidRDefault="00121F79" w:rsidP="00121F79">
      <w:pPr>
        <w:spacing w:after="0" w:line="240" w:lineRule="auto"/>
        <w:textAlignment w:val="baseline"/>
        <w:rPr>
          <w:rFonts w:eastAsia="Times New Roman" w:cstheme="minorHAnsi"/>
          <w:color w:val="676668"/>
          <w:sz w:val="24"/>
          <w:szCs w:val="24"/>
        </w:rPr>
      </w:pPr>
    </w:p>
    <w:p w14:paraId="679515A5" w14:textId="77777777" w:rsidR="00121F79" w:rsidRDefault="00121F79" w:rsidP="00121F79">
      <w:pPr>
        <w:numPr>
          <w:ilvl w:val="1"/>
          <w:numId w:val="3"/>
        </w:numPr>
        <w:spacing w:after="0" w:line="240" w:lineRule="auto"/>
        <w:textAlignment w:val="baseline"/>
        <w:rPr>
          <w:rFonts w:eastAsia="Times New Roman" w:cstheme="minorHAnsi"/>
          <w:color w:val="676668"/>
          <w:sz w:val="24"/>
          <w:szCs w:val="24"/>
        </w:rPr>
      </w:pPr>
      <w:r>
        <w:rPr>
          <w:rFonts w:eastAsia="Times New Roman" w:cstheme="minorHAnsi"/>
          <w:color w:val="676668"/>
          <w:sz w:val="24"/>
          <w:szCs w:val="24"/>
        </w:rPr>
        <w:t>Click </w:t>
      </w:r>
      <w:hyperlink r:id="rId6" w:history="1">
        <w:r>
          <w:rPr>
            <w:rStyle w:val="Hyperlink"/>
            <w:rFonts w:eastAsia="Times New Roman" w:cstheme="minorHAnsi"/>
            <w:color w:val="0074C7"/>
            <w:sz w:val="24"/>
            <w:szCs w:val="24"/>
            <w:bdr w:val="none" w:sz="0" w:space="0" w:color="auto" w:frame="1"/>
          </w:rPr>
          <w:t>Tuberculosis Screening</w:t>
        </w:r>
      </w:hyperlink>
      <w:r>
        <w:rPr>
          <w:rFonts w:eastAsia="Times New Roman" w:cstheme="minorHAnsi"/>
          <w:color w:val="676668"/>
          <w:sz w:val="24"/>
          <w:szCs w:val="24"/>
        </w:rPr>
        <w:t xml:space="preserve"> to complete the questionnaire. Once filled out, you will be given a notification at the bottom of the questionnaire if further action is required. </w:t>
      </w:r>
    </w:p>
    <w:p w14:paraId="5D6C426A" w14:textId="77777777" w:rsidR="00121F79" w:rsidRDefault="00121F79" w:rsidP="00121F79">
      <w:pPr>
        <w:shd w:val="clear" w:color="auto" w:fill="FFFFFF"/>
        <w:spacing w:after="100" w:afterAutospacing="1" w:line="240" w:lineRule="auto"/>
        <w:textAlignment w:val="baseline"/>
        <w:rPr>
          <w:rFonts w:eastAsia="Times New Roman" w:cstheme="minorHAnsi"/>
          <w:color w:val="595D64"/>
          <w:sz w:val="24"/>
          <w:szCs w:val="24"/>
        </w:rPr>
      </w:pPr>
    </w:p>
    <w:p w14:paraId="4208EE02" w14:textId="7B1A0B12" w:rsidR="00121F79" w:rsidRDefault="00121F79" w:rsidP="00121F79">
      <w:pPr>
        <w:shd w:val="clear" w:color="auto" w:fill="FFFFFF" w:themeFill="background1"/>
        <w:spacing w:after="100" w:afterAutospacing="1" w:line="240" w:lineRule="auto"/>
        <w:textAlignment w:val="baseline"/>
        <w:rPr>
          <w:rFonts w:eastAsia="Times New Roman"/>
          <w:color w:val="595D64"/>
          <w:sz w:val="24"/>
          <w:szCs w:val="24"/>
        </w:rPr>
      </w:pPr>
      <w:r>
        <w:rPr>
          <w:rFonts w:eastAsia="Times New Roman"/>
          <w:color w:val="595D64"/>
          <w:sz w:val="24"/>
          <w:szCs w:val="24"/>
        </w:rPr>
        <w:t>All required documentation must be submitted by the following dates:</w:t>
      </w:r>
    </w:p>
    <w:p w14:paraId="6B9F8868" w14:textId="77777777" w:rsidR="00121F79" w:rsidRDefault="00121F79" w:rsidP="00121F79">
      <w:pPr>
        <w:shd w:val="clear" w:color="auto" w:fill="FFFFFF"/>
        <w:spacing w:after="100" w:afterAutospacing="1" w:line="240" w:lineRule="auto"/>
        <w:ind w:firstLine="720"/>
        <w:textAlignment w:val="baseline"/>
        <w:rPr>
          <w:rFonts w:eastAsia="Times New Roman" w:cstheme="minorHAnsi"/>
          <w:color w:val="595D64"/>
          <w:sz w:val="24"/>
          <w:szCs w:val="24"/>
        </w:rPr>
      </w:pPr>
      <w:r>
        <w:rPr>
          <w:rFonts w:eastAsia="Times New Roman" w:cstheme="minorHAnsi"/>
          <w:color w:val="595D64"/>
          <w:sz w:val="24"/>
          <w:szCs w:val="24"/>
        </w:rPr>
        <w:t xml:space="preserve">Fall Semester: Due by August 1 </w:t>
      </w:r>
    </w:p>
    <w:p w14:paraId="6240FB22" w14:textId="77777777" w:rsidR="00121F79" w:rsidRDefault="00121F79" w:rsidP="00121F79">
      <w:pPr>
        <w:shd w:val="clear" w:color="auto" w:fill="FFFFFF"/>
        <w:spacing w:after="100" w:afterAutospacing="1" w:line="240" w:lineRule="auto"/>
        <w:ind w:firstLine="720"/>
        <w:textAlignment w:val="baseline"/>
        <w:rPr>
          <w:rFonts w:eastAsia="Times New Roman" w:cstheme="minorHAnsi"/>
          <w:color w:val="595D64"/>
          <w:sz w:val="24"/>
          <w:szCs w:val="24"/>
        </w:rPr>
      </w:pPr>
      <w:r>
        <w:rPr>
          <w:rFonts w:eastAsia="Times New Roman" w:cstheme="minorHAnsi"/>
          <w:color w:val="595D64"/>
          <w:sz w:val="24"/>
          <w:szCs w:val="24"/>
        </w:rPr>
        <w:t>Spring Semester: Due by January 1</w:t>
      </w:r>
    </w:p>
    <w:p w14:paraId="71EF4335" w14:textId="77777777" w:rsidR="00121F79" w:rsidRDefault="00121F79" w:rsidP="00121F79">
      <w:pPr>
        <w:shd w:val="clear" w:color="auto" w:fill="FFFFFF"/>
        <w:spacing w:after="100" w:afterAutospacing="1" w:line="240" w:lineRule="auto"/>
        <w:ind w:firstLine="720"/>
        <w:textAlignment w:val="baseline"/>
        <w:rPr>
          <w:rFonts w:eastAsia="Times New Roman" w:cstheme="minorHAnsi"/>
          <w:color w:val="595D64"/>
          <w:sz w:val="24"/>
          <w:szCs w:val="24"/>
        </w:rPr>
      </w:pPr>
      <w:r>
        <w:rPr>
          <w:rFonts w:eastAsia="Times New Roman"/>
          <w:color w:val="595D64"/>
          <w:sz w:val="24"/>
          <w:szCs w:val="24"/>
        </w:rPr>
        <w:t>Summer Semester: Due by April 1</w:t>
      </w:r>
    </w:p>
    <w:p w14:paraId="02F22BC3" w14:textId="77777777" w:rsidR="00121F79" w:rsidRDefault="00121F79" w:rsidP="00121F79">
      <w:pPr>
        <w:shd w:val="clear" w:color="auto" w:fill="FFFFFF" w:themeFill="background1"/>
        <w:spacing w:after="100" w:afterAutospacing="1" w:line="240" w:lineRule="auto"/>
        <w:ind w:firstLine="720"/>
        <w:rPr>
          <w:rFonts w:eastAsia="Times New Roman"/>
          <w:color w:val="595D64"/>
          <w:sz w:val="24"/>
          <w:szCs w:val="24"/>
        </w:rPr>
      </w:pPr>
    </w:p>
    <w:p w14:paraId="6280659D" w14:textId="3127B603" w:rsidR="00121F79" w:rsidRPr="00121F79" w:rsidRDefault="00121F79" w:rsidP="00121F79">
      <w:pPr>
        <w:shd w:val="clear" w:color="auto" w:fill="FFFFFF" w:themeFill="background1"/>
        <w:spacing w:after="100" w:afterAutospacing="1" w:line="240" w:lineRule="auto"/>
        <w:textAlignment w:val="baseline"/>
        <w:rPr>
          <w:rFonts w:eastAsia="Times New Roman"/>
          <w:b/>
          <w:bCs/>
          <w:color w:val="595D64"/>
          <w:sz w:val="24"/>
          <w:szCs w:val="24"/>
        </w:rPr>
      </w:pPr>
      <w:r>
        <w:rPr>
          <w:rFonts w:eastAsia="Times New Roman"/>
          <w:color w:val="595D64"/>
          <w:sz w:val="24"/>
          <w:szCs w:val="24"/>
        </w:rPr>
        <w:lastRenderedPageBreak/>
        <w:t>You may not be allowed to move in if the Campus Nurse does not have your records prior to move-in day. Any student failing to complete these requirements may jeopardize their housing assignment. Failure to submit documentation of the required vaccination does not alleviate your responsibility under any contractual relationship with the Residential Life Office.</w:t>
      </w:r>
    </w:p>
    <w:p w14:paraId="72C7273A" w14:textId="77777777" w:rsidR="00121F79" w:rsidRDefault="00121F79" w:rsidP="00121F79">
      <w:pPr>
        <w:shd w:val="clear" w:color="auto" w:fill="FFFFFF" w:themeFill="background1"/>
        <w:spacing w:after="100" w:afterAutospacing="1" w:line="240" w:lineRule="auto"/>
        <w:textAlignment w:val="baseline"/>
        <w:rPr>
          <w:rFonts w:eastAsia="Times New Roman"/>
          <w:color w:val="595D64"/>
          <w:sz w:val="24"/>
          <w:szCs w:val="24"/>
        </w:rPr>
      </w:pPr>
      <w:r>
        <w:rPr>
          <w:rFonts w:eastAsia="Times New Roman"/>
          <w:color w:val="595D64"/>
          <w:sz w:val="24"/>
          <w:szCs w:val="24"/>
        </w:rPr>
        <w:t xml:space="preserve">If you have any questions or concerns, please contact the nurse at </w:t>
      </w:r>
      <w:hyperlink r:id="rId7" w:history="1">
        <w:r>
          <w:rPr>
            <w:rStyle w:val="Hyperlink"/>
            <w:rFonts w:eastAsia="Times New Roman"/>
            <w:sz w:val="24"/>
            <w:szCs w:val="24"/>
          </w:rPr>
          <w:t>sdalton@fontbonne.edu</w:t>
        </w:r>
      </w:hyperlink>
      <w:r>
        <w:rPr>
          <w:rFonts w:eastAsia="Times New Roman"/>
          <w:color w:val="595D64"/>
          <w:sz w:val="24"/>
          <w:szCs w:val="24"/>
        </w:rPr>
        <w:t xml:space="preserve"> or call (314) 889-4784.</w:t>
      </w:r>
    </w:p>
    <w:p w14:paraId="3C823897" w14:textId="77777777" w:rsidR="003F05DD" w:rsidRDefault="003F05DD"/>
    <w:sectPr w:rsidR="003F0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3A7D"/>
    <w:multiLevelType w:val="hybridMultilevel"/>
    <w:tmpl w:val="C29674A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BD637C"/>
    <w:multiLevelType w:val="multilevel"/>
    <w:tmpl w:val="C83A0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050F5"/>
    <w:multiLevelType w:val="hybridMultilevel"/>
    <w:tmpl w:val="7974D788"/>
    <w:lvl w:ilvl="0" w:tplc="721ABE48">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9256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5888814">
    <w:abstractNumId w:val="2"/>
    <w:lvlOverride w:ilvl="0"/>
    <w:lvlOverride w:ilvl="1"/>
    <w:lvlOverride w:ilvl="2"/>
    <w:lvlOverride w:ilvl="3"/>
    <w:lvlOverride w:ilvl="4"/>
    <w:lvlOverride w:ilvl="5"/>
    <w:lvlOverride w:ilvl="6"/>
    <w:lvlOverride w:ilvl="7"/>
    <w:lvlOverride w:ilvl="8"/>
  </w:num>
  <w:num w:numId="3" w16cid:durableId="64162143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79"/>
    <w:rsid w:val="00121F79"/>
    <w:rsid w:val="003F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66DC"/>
  <w15:chartTrackingRefBased/>
  <w15:docId w15:val="{9DE619D2-CE78-49E9-ACF5-C9FD8304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F79"/>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F79"/>
    <w:rPr>
      <w:color w:val="0000FF"/>
      <w:u w:val="single"/>
    </w:rPr>
  </w:style>
  <w:style w:type="paragraph" w:styleId="ListParagraph">
    <w:name w:val="List Paragraph"/>
    <w:basedOn w:val="Normal"/>
    <w:uiPriority w:val="34"/>
    <w:qFormat/>
    <w:rsid w:val="0012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3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alton@fontbon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ntbonne.edu/campus-life/student-health-services/tuberculosis-screening/" TargetMode="External"/><Relationship Id="rId5" Type="http://schemas.openxmlformats.org/officeDocument/2006/relationships/hyperlink" Target="https://fontbonne.formstack.com/forms/medical_information_submission_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2169</Characters>
  <Application>Microsoft Office Word</Application>
  <DocSecurity>0</DocSecurity>
  <Lines>18</Lines>
  <Paragraphs>5</Paragraphs>
  <ScaleCrop>false</ScaleCrop>
  <Company>Fontbonne University</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Sarah</dc:creator>
  <cp:keywords/>
  <dc:description/>
  <cp:lastModifiedBy>Dalton, Sarah</cp:lastModifiedBy>
  <cp:revision>1</cp:revision>
  <dcterms:created xsi:type="dcterms:W3CDTF">2023-09-13T15:46:00Z</dcterms:created>
  <dcterms:modified xsi:type="dcterms:W3CDTF">2023-09-13T15:52:00Z</dcterms:modified>
</cp:coreProperties>
</file>